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7"/>
        <w:snapToGrid w:val="0"/>
        <w:outlineLvl w:val="0"/>
        <w:rPr>
          <w:b/>
          <w:sz w:val="36"/>
          <w:szCs w:val="36"/>
        </w:rPr>
      </w:pPr>
      <w:r>
        <w:rPr>
          <w:rFonts w:hint="eastAsia"/>
          <w:b/>
          <w:sz w:val="36"/>
          <w:szCs w:val="36"/>
        </w:rPr>
        <w:t>附件2：</w:t>
      </w:r>
      <w:r>
        <w:rPr>
          <w:b/>
          <w:sz w:val="36"/>
          <w:szCs w:val="36"/>
        </w:rPr>
        <w:t>评分标准</w:t>
      </w:r>
    </w:p>
    <w:p>
      <w:pPr>
        <w:pStyle w:val="18"/>
        <w:spacing w:line="360" w:lineRule="auto"/>
        <w:ind w:firstLineChars="200" w:firstLine="480"/>
        <w:rPr>
          <w:sz w:val="24"/>
        </w:rPr>
      </w:pPr>
      <w:r>
        <w:rPr>
          <w:rFonts w:hint="eastAsia"/>
          <w:sz w:val="24"/>
        </w:rPr>
        <w:t>评标方法：本项目采用综合评分法进行评标：</w:t>
      </w:r>
    </w:p>
    <w:p>
      <w:pPr>
        <w:pStyle w:val="18"/>
        <w:spacing w:line="360" w:lineRule="auto"/>
        <w:ind w:firstLineChars="200" w:firstLine="480"/>
        <w:rPr>
          <w:sz w:val="24"/>
        </w:rPr>
      </w:pPr>
      <w:r>
        <w:rPr>
          <w:rFonts w:hint="eastAsia"/>
          <w:kern w:val="0"/>
          <w:sz w:val="24"/>
        </w:rPr>
        <w:t>1、</w:t>
      </w:r>
      <w:r>
        <w:rPr>
          <w:rFonts w:hint="eastAsia"/>
          <w:sz w:val="24"/>
        </w:rPr>
        <w:t>根据投标人的综合得分，计算出投标人的评标总得分，由高到低排出顺序，评标总得分最高的投标人推荐为中标候选人。如果投标人评标总得分相同，报价低的投标人排序在前。得分且投标报价相同的，按技术指标优劣顺序排列。技术得分也相同的，按商务指标优劣顺序排列</w:t>
      </w:r>
    </w:p>
    <w:p/>
    <w:p>
      <w:r>
        <w:t>综合评分法</w:t>
      </w:r>
    </w:p>
    <w:tbl>
      <w:tblPr>
        <w:jc w:val="left"/>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38"/>
        <w:gridCol w:w="736"/>
        <w:gridCol w:w="5935"/>
        <w:gridCol w:w="1421"/>
      </w:tblGrid>
      <w:tr>
        <w:tc>
          <w:tcPr>
            <w:tcW w:w="426" w:type="dxa"/>
          </w:tcPr>
          <w:p>
            <w:r>
              <w:t>主客观项</w:t>
            </w:r>
          </w:p>
        </w:tc>
        <w:tc>
          <w:tcPr>
            <w:tcW w:w="717" w:type="dxa"/>
          </w:tcPr>
          <w:p>
            <w:r>
              <w:t>评审因素</w:t>
            </w:r>
          </w:p>
        </w:tc>
        <w:tc>
          <w:tcPr>
            <w:tcW w:w="5778" w:type="dxa"/>
          </w:tcPr>
          <w:p>
            <w:r>
              <w:t>评分标准说明</w:t>
            </w:r>
          </w:p>
        </w:tc>
        <w:tc>
          <w:tcPr>
            <w:tcW w:w="1383" w:type="dxa"/>
          </w:tcPr>
          <w:p>
            <w:r>
              <w:t>分值范围</w:t>
            </w:r>
          </w:p>
        </w:tc>
      </w:tr>
      <w:tr>
        <w:tc>
          <w:tcPr>
            <w:tcW w:w="426" w:type="dxa"/>
          </w:tcPr>
          <w:p>
            <w:r>
              <w:t>价格分</w:t>
            </w:r>
          </w:p>
        </w:tc>
        <w:tc>
          <w:tcPr>
            <w:tcW w:w="717" w:type="dxa"/>
            <w:tcBorders>
              <w:top w:val="single" w:sz="4" w:space="0" w:color="auto"/>
              <w:left w:val="single" w:sz="4" w:space="0" w:color="auto"/>
              <w:right w:val="single" w:sz="4" w:space="0" w:color="auto"/>
            </w:tcBorders>
          </w:tcPr>
          <w:p>
            <w:r>
              <w:t>报价得分</w:t>
            </w:r>
          </w:p>
        </w:tc>
        <w:tc>
          <w:tcPr>
            <w:tcW w:w="5778" w:type="dxa"/>
            <w:tcBorders>
              <w:top w:val="single" w:sz="4" w:space="0" w:color="auto"/>
              <w:left w:val="single" w:sz="4" w:space="0" w:color="auto"/>
              <w:right w:val="single" w:sz="4" w:space="0" w:color="auto"/>
            </w:tcBorders>
          </w:tcPr>
          <w:p>
            <w:r>
              <w:t>综合评分法中的价格分统一采用低价优先法计算，即满足招标文件要求且投标价格最低的投标报价为评标基准价，其价格分为满分。其他投标人的价格分按照下列公式计算：价格得分=(评标基准价／投标报价)×10％×100。</w:t>
            </w:r>
          </w:p>
        </w:tc>
        <w:tc>
          <w:tcPr>
            <w:tcW w:w="1383" w:type="dxa"/>
          </w:tcPr>
          <w:p>
            <w:r>
              <w:t>区间打分(0-10)</w:t>
            </w:r>
          </w:p>
        </w:tc>
      </w:tr>
      <w:tr>
        <w:trPr>
          <w:trHeight w:val="3422"/>
        </w:trPr>
        <w:tc>
          <w:tcPr>
            <w:tcW w:w="426" w:type="dxa"/>
          </w:tcPr>
          <w:p>
            <w:r>
              <w:t>商务部分</w:t>
            </w:r>
          </w:p>
        </w:tc>
        <w:tc>
          <w:tcPr>
            <w:tcW w:w="717" w:type="dxa"/>
            <w:tcBorders>
              <w:top w:val="single" w:sz="4" w:space="0" w:color="auto"/>
              <w:left w:val="single" w:sz="4" w:space="0" w:color="auto"/>
              <w:right w:val="single" w:sz="4" w:space="0" w:color="auto"/>
            </w:tcBorders>
          </w:tcPr>
          <w:p>
            <w:pPr>
              <w:pStyle w:val="22"/>
            </w:pPr>
            <w:r>
              <w:t>投标人业绩</w:t>
            </w:r>
          </w:p>
        </w:tc>
        <w:tc>
          <w:tcPr>
            <w:tcW w:w="5778" w:type="dxa"/>
            <w:tcBorders>
              <w:top w:val="single" w:sz="4" w:space="0" w:color="auto"/>
              <w:left w:val="single" w:sz="4" w:space="0" w:color="auto"/>
              <w:right w:val="single" w:sz="4" w:space="0" w:color="auto"/>
            </w:tcBorders>
          </w:tcPr>
          <w:p>
            <w:pPr>
              <w:pStyle w:val="23"/>
            </w:pPr>
            <w:r>
              <w:t>投标人提供2023年9</w:t>
            </w:r>
            <w:bookmarkStart w:id="0" w:name="_GoBack"/>
            <w:bookmarkEnd w:id="0"/>
            <w:r>
              <w:t xml:space="preserve">月1日起至本项目招标公告发布之日止（以合同签订日期为准），与本项目同类开发服务项目的相关业绩材料。每提供一个有效业绩得2分，最多得10分。                </w:t>
            </w:r>
          </w:p>
          <w:p>
            <w:pPr>
              <w:pStyle w:val="23"/>
            </w:pPr>
          </w:p>
          <w:p>
            <w:pPr>
              <w:pStyle w:val="23"/>
            </w:pPr>
            <w:r>
              <w:t>注：1.合同销售方（乙方）必须为投标人自身，需提供合同复印件并加盖公章，其中合同中必须至少包含合同首页、服务内容、双方印章、签字、签订时间、付款条件页（以上内容缺少一项，不予承认）；</w:t>
            </w:r>
          </w:p>
          <w:p>
            <w:pPr>
              <w:pStyle w:val="23"/>
            </w:pPr>
            <w:r>
              <w:t>2.提供的业绩合同材料复印件须字迹清晰，辨识无误；</w:t>
            </w:r>
          </w:p>
          <w:p>
            <w:pPr>
              <w:pStyle w:val="23"/>
            </w:pPr>
            <w:r>
              <w:t>3.不符合上述要求或未按要求提供有效证明文件的业绩在评审时将不予以承认。</w:t>
            </w:r>
          </w:p>
        </w:tc>
        <w:tc>
          <w:tcPr>
            <w:tcW w:w="1383" w:type="dxa"/>
          </w:tcPr>
          <w:p>
            <w:pPr>
              <w:pStyle w:val="24"/>
            </w:pPr>
            <w:r>
              <w:t>勾选打分(0;2;4;6;8;10)</w:t>
            </w:r>
          </w:p>
        </w:tc>
      </w:tr>
      <w:tr>
        <w:trPr>
          <w:trHeight w:val="301"/>
        </w:trPr>
        <w:tc>
          <w:tcPr>
            <w:tcW w:w="426" w:type="dxa"/>
            <w:vMerge w:val="restart"/>
          </w:tcPr>
          <w:p>
            <w:r>
              <w:t>技术部分</w:t>
            </w:r>
          </w:p>
        </w:tc>
        <w:tc>
          <w:tcPr>
            <w:tcW w:w="717" w:type="dxa"/>
            <w:tcBorders>
              <w:top w:val="single" w:sz="4" w:space="0" w:color="auto"/>
              <w:left w:val="single" w:sz="4" w:space="0" w:color="auto"/>
              <w:right w:val="single" w:sz="4" w:space="0" w:color="auto"/>
            </w:tcBorders>
          </w:tcPr>
          <w:p>
            <w:pPr>
              <w:pStyle w:val="25"/>
            </w:pPr>
            <w:r>
              <w:t>技术需求响应程度</w:t>
            </w:r>
          </w:p>
        </w:tc>
        <w:tc>
          <w:tcPr>
            <w:tcW w:w="5778" w:type="dxa"/>
            <w:tcBorders>
              <w:top w:val="single" w:sz="4" w:space="0" w:color="auto"/>
              <w:left w:val="single" w:sz="4" w:space="0" w:color="auto"/>
              <w:right w:val="single" w:sz="4" w:space="0" w:color="auto"/>
            </w:tcBorders>
          </w:tcPr>
          <w:p>
            <w:pPr>
              <w:pStyle w:val="26"/>
            </w:pPr>
            <w:r>
              <w:t>完全满足招标文件项目需求书相关要求得50.3分，标注▲重要指标项每有一个不满足扣1.4分，一般指标项每有一个不满足扣0.5分。</w:t>
            </w:r>
          </w:p>
          <w:p>
            <w:pPr>
              <w:pStyle w:val="26"/>
            </w:pPr>
          </w:p>
          <w:p>
            <w:pPr>
              <w:pStyle w:val="26"/>
            </w:pPr>
            <w:r>
              <w:t xml:space="preserve">重要指标共32个：分别为：         </w:t>
            </w:r>
          </w:p>
          <w:p>
            <w:pPr>
              <w:pStyle w:val="26"/>
            </w:pPr>
            <w:r>
              <w:t xml:space="preserve">三、货物或服务指标要求24个：第1项3个，第2项7个，第3、4项各1个，第7项3个，第10、11、12、13、14、15、16、17、18项各1个。 </w:t>
            </w:r>
          </w:p>
          <w:p>
            <w:pPr>
              <w:pStyle w:val="26"/>
            </w:pPr>
            <w:r>
              <w:t xml:space="preserve">四、服务要求8个：第2、3、4、5、6、7、8、9项各1个。 </w:t>
            </w:r>
          </w:p>
          <w:p>
            <w:pPr>
              <w:pStyle w:val="26"/>
            </w:pPr>
          </w:p>
          <w:p>
            <w:pPr>
              <w:pStyle w:val="26"/>
            </w:pPr>
            <w:r>
              <w:t>一般指标项共11个： 分别为：</w:t>
            </w:r>
          </w:p>
          <w:p>
            <w:pPr>
              <w:pStyle w:val="26"/>
            </w:pPr>
            <w:r>
              <w:t>三、货物或服务指标要求10个：第5、6项各1个，第9项7个，第19项1个</w:t>
            </w:r>
          </w:p>
          <w:p>
            <w:pPr>
              <w:pStyle w:val="26"/>
            </w:pPr>
            <w:r>
              <w:t>四、服务要求1个：第1项1个</w:t>
            </w:r>
          </w:p>
        </w:tc>
        <w:tc>
          <w:tcPr>
            <w:tcW w:w="1383" w:type="dxa"/>
          </w:tcPr>
          <w:p>
            <w:pPr>
              <w:pStyle w:val="27"/>
            </w:pPr>
            <w:r>
              <w:t>区间打分(0-50.3)</w:t>
            </w:r>
          </w:p>
        </w:tc>
      </w:tr>
      <w:tr>
        <w:trPr>
          <w:trHeight w:val="3901"/>
        </w:trPr>
        <w:tc>
          <w:tcPr>
            <w:tcW w:w="426" w:type="dxa"/>
            <w:vMerge/>
          </w:tcPr>
          <w:p/>
        </w:tc>
        <w:tc>
          <w:tcPr>
            <w:tcW w:w="717" w:type="dxa"/>
            <w:tcBorders>
              <w:top w:val="single" w:sz="4" w:space="0" w:color="auto"/>
              <w:left w:val="single" w:sz="4" w:space="0" w:color="auto"/>
              <w:right w:val="single" w:sz="4" w:space="0" w:color="auto"/>
            </w:tcBorders>
          </w:tcPr>
          <w:p>
            <w:pPr>
              <w:pStyle w:val="53"/>
            </w:pPr>
            <w:r>
              <w:t>技术设计方案</w:t>
            </w:r>
          </w:p>
        </w:tc>
        <w:tc>
          <w:tcPr>
            <w:tcW w:w="5778" w:type="dxa"/>
            <w:tcBorders>
              <w:top w:val="single" w:sz="4" w:space="0" w:color="auto"/>
              <w:left w:val="single" w:sz="4" w:space="0" w:color="auto"/>
              <w:right w:val="single" w:sz="4" w:space="0" w:color="auto"/>
            </w:tcBorders>
          </w:tcPr>
          <w:p>
            <w:pPr>
              <w:pStyle w:val="54"/>
              <w:spacing w:line="400" w:lineRule="exact"/>
              <w:rPr>
                <w:rFonts w:cs="宋体"/>
                <w:szCs w:val="21"/>
              </w:rPr>
            </w:pPr>
            <w:r>
              <w:rPr>
                <w:rFonts w:cs="宋体" w:hint="eastAsia"/>
                <w:bCs/>
                <w:szCs w:val="21"/>
              </w:rPr>
              <w:t>投标人提供的系统</w:t>
            </w:r>
            <w:r>
              <w:rPr>
                <w:rFonts w:cs="宋体" w:hint="eastAsia"/>
                <w:szCs w:val="21"/>
              </w:rPr>
              <w:t>设计方案：</w:t>
            </w:r>
          </w:p>
          <w:p>
            <w:pPr>
              <w:pStyle w:val="54"/>
              <w:spacing w:line="400" w:lineRule="exact"/>
              <w:rPr>
                <w:rFonts w:cs="宋体"/>
                <w:szCs w:val="21"/>
              </w:rPr>
            </w:pPr>
            <w:r>
              <w:rPr>
                <w:rFonts w:cs="宋体" w:hint="eastAsia"/>
                <w:szCs w:val="21"/>
              </w:rPr>
              <w:t>方案针对本项目功能要求进行功能设计，包括模块配置、功能描述。内容完整、设计合理、逻辑清晰、可行强，得</w:t>
            </w:r>
            <w:r>
              <w:rPr>
                <w:rFonts w:cs="宋体"/>
                <w:szCs w:val="21"/>
              </w:rPr>
              <w:t>7.5</w:t>
            </w:r>
            <w:r>
              <w:rPr>
                <w:rFonts w:cs="宋体" w:hint="eastAsia"/>
                <w:szCs w:val="21"/>
              </w:rPr>
              <w:t>分；</w:t>
            </w:r>
          </w:p>
          <w:p>
            <w:pPr>
              <w:pStyle w:val="54"/>
              <w:spacing w:line="400" w:lineRule="exact"/>
              <w:rPr>
                <w:rFonts w:cs="宋体"/>
                <w:szCs w:val="21"/>
              </w:rPr>
            </w:pPr>
            <w:r>
              <w:rPr>
                <w:rFonts w:cs="宋体" w:hint="eastAsia"/>
                <w:szCs w:val="21"/>
              </w:rPr>
              <w:t>方案内容完整、设计合理、逻辑清晰、可行性强，</w:t>
            </w:r>
            <w:r>
              <w:t>但方案内容（两个及以下）中有缺陷（缺陷包括：与事实不符、前后内容不一致、逻辑错误、不符合采购需求、内容有缺失等），得5</w:t>
            </w:r>
            <w:r>
              <w:rPr>
                <w:rFonts w:cs="宋体" w:hint="eastAsia"/>
                <w:szCs w:val="21"/>
              </w:rPr>
              <w:t>分；</w:t>
            </w:r>
          </w:p>
          <w:p>
            <w:pPr>
              <w:pStyle w:val="54"/>
              <w:spacing w:line="400" w:lineRule="exact"/>
              <w:rPr>
                <w:rFonts w:cs="宋体"/>
                <w:bCs/>
                <w:szCs w:val="21"/>
              </w:rPr>
            </w:pPr>
            <w:r>
              <w:t>技术设计方案内容有漏项，未完全包括上述内容要求，或三个及以上内容中存在缺陷，</w:t>
            </w:r>
            <w:r>
              <w:rPr>
                <w:rFonts w:cs="宋体" w:hint="eastAsia"/>
                <w:bCs/>
                <w:szCs w:val="21"/>
              </w:rPr>
              <w:t>得</w:t>
            </w:r>
            <w:r>
              <w:rPr>
                <w:rFonts w:cs="宋体"/>
                <w:bCs/>
                <w:szCs w:val="21"/>
              </w:rPr>
              <w:t>2.5</w:t>
            </w:r>
            <w:r>
              <w:rPr>
                <w:rFonts w:cs="宋体" w:hint="eastAsia"/>
                <w:bCs/>
                <w:szCs w:val="21"/>
              </w:rPr>
              <w:t>分</w:t>
            </w:r>
            <w:r>
              <w:rPr>
                <w:rFonts w:cs="宋体"/>
                <w:bCs/>
                <w:szCs w:val="21"/>
              </w:rPr>
              <w:t>；</w:t>
            </w:r>
          </w:p>
          <w:p>
            <w:pPr>
              <w:pStyle w:val="55"/>
            </w:pPr>
            <w:r>
              <w:t>未提供技术设计方案或方案严重脱离项目实际，得0分。</w:t>
            </w:r>
          </w:p>
        </w:tc>
        <w:tc>
          <w:tcPr>
            <w:tcW w:w="1383" w:type="dxa"/>
          </w:tcPr>
          <w:p>
            <w:pPr>
              <w:pStyle w:val="56"/>
            </w:pPr>
            <w:r>
              <w:t>勾选打分</w:t>
            </w:r>
            <w:r>
              <w:rPr>
                <w:rFonts w:hint="eastAsia"/>
              </w:rPr>
              <w:t>(0;</w:t>
            </w:r>
            <w:r>
              <w:t>2.5</w:t>
            </w:r>
            <w:r>
              <w:rPr>
                <w:rFonts w:hint="eastAsia"/>
              </w:rPr>
              <w:t>;</w:t>
            </w:r>
            <w:r>
              <w:t>5</w:t>
            </w:r>
            <w:r>
              <w:rPr>
                <w:rFonts w:hint="eastAsia"/>
              </w:rPr>
              <w:t>;</w:t>
            </w:r>
            <w:r>
              <w:t>7.5</w:t>
            </w:r>
            <w:r>
              <w:rPr>
                <w:rFonts w:hint="eastAsia"/>
              </w:rPr>
              <w:t>)</w:t>
            </w:r>
          </w:p>
        </w:tc>
      </w:tr>
      <w:tr>
        <w:trPr>
          <w:trHeight w:val="4357"/>
        </w:trPr>
        <w:tc>
          <w:tcPr>
            <w:tcW w:w="426" w:type="dxa"/>
            <w:vMerge/>
          </w:tcPr>
          <w:p/>
        </w:tc>
        <w:tc>
          <w:tcPr>
            <w:tcW w:w="717" w:type="dxa"/>
            <w:tcBorders>
              <w:top w:val="single" w:sz="4" w:space="0" w:color="auto"/>
              <w:left w:val="single" w:sz="4" w:space="0" w:color="auto"/>
              <w:right w:val="single" w:sz="4" w:space="0" w:color="auto"/>
            </w:tcBorders>
          </w:tcPr>
          <w:p>
            <w:pPr>
              <w:pStyle w:val="57"/>
            </w:pPr>
            <w:r>
              <w:t>系统集成方案</w:t>
            </w:r>
          </w:p>
        </w:tc>
        <w:tc>
          <w:tcPr>
            <w:tcW w:w="5778" w:type="dxa"/>
            <w:tcBorders>
              <w:top w:val="single" w:sz="4" w:space="0" w:color="auto"/>
              <w:left w:val="single" w:sz="4" w:space="0" w:color="auto"/>
              <w:right w:val="single" w:sz="4" w:space="0" w:color="auto"/>
            </w:tcBorders>
          </w:tcPr>
          <w:p>
            <w:pPr>
              <w:pStyle w:val="58"/>
            </w:pPr>
            <w:r>
              <w:t>投标人需提供针对海关H4A应用系统的</w:t>
            </w:r>
            <w:r>
              <w:rPr>
                <w:rFonts w:hint="eastAsia"/>
              </w:rPr>
              <w:t>集成</w:t>
            </w:r>
            <w:r>
              <w:t>方案，</w:t>
            </w:r>
            <w:r>
              <w:rPr>
                <w:rFonts w:hint="eastAsia"/>
              </w:rPr>
              <w:t>方案需介绍集成海关应用支撑平台前后端服务的具体方案。系统集成方案</w:t>
            </w:r>
            <w:r>
              <w:t>应</w:t>
            </w:r>
            <w:r>
              <w:rPr>
                <w:rFonts w:hint="eastAsia"/>
              </w:rPr>
              <w:t>包含总体说明、架构设计、功能设计、技术实现等内容，</w:t>
            </w:r>
            <w:r>
              <w:t>展现其集成模式的清晰性、科学性和可行性</w:t>
            </w:r>
            <w:r>
              <w:rPr>
                <w:rFonts w:hint="eastAsia"/>
              </w:rPr>
              <w:t>。</w:t>
            </w:r>
          </w:p>
          <w:p>
            <w:pPr>
              <w:pStyle w:val="58"/>
            </w:pPr>
          </w:p>
          <w:p>
            <w:pPr>
              <w:pStyle w:val="58"/>
            </w:pPr>
            <w:r>
              <w:t>系统集成方案科学周密，内容全面，完全契合项目实际，针对性可行性强，得</w:t>
            </w:r>
            <w:r>
              <w:rPr>
                <w:rFonts w:hint="eastAsia"/>
              </w:rPr>
              <w:t>5</w:t>
            </w:r>
            <w:r>
              <w:t xml:space="preserve">分。                  </w:t>
            </w:r>
          </w:p>
          <w:p>
            <w:pPr>
              <w:pStyle w:val="58"/>
            </w:pPr>
            <w:r>
              <w:t>系统集成方案内容完整，可以满足项目需要，针对性可行性较强，但方案内容（两个及以下）中有缺陷（缺陷包括：与事实不符、前后内容不一致、逻辑错误、不符合采购需求、内容有缺失等），得3.</w:t>
            </w:r>
            <w:r>
              <w:rPr>
                <w:rFonts w:hint="eastAsia"/>
              </w:rPr>
              <w:t>4</w:t>
            </w:r>
            <w:r>
              <w:t xml:space="preserve">分。                     </w:t>
            </w:r>
          </w:p>
          <w:p>
            <w:pPr>
              <w:pStyle w:val="58"/>
            </w:pPr>
            <w:r>
              <w:t xml:space="preserve">系统集成方案内容有漏项，未完全包括上述内容要求，或三个及以上内容中存在缺陷，得1.7分。                      </w:t>
            </w:r>
          </w:p>
          <w:p>
            <w:pPr>
              <w:pStyle w:val="58"/>
            </w:pPr>
            <w:r>
              <w:t xml:space="preserve">未提供系统集成方案或方案严重脱离项目实际，得0分。 </w:t>
            </w:r>
          </w:p>
        </w:tc>
        <w:tc>
          <w:tcPr>
            <w:tcW w:w="1383" w:type="dxa"/>
          </w:tcPr>
          <w:p>
            <w:pPr>
              <w:pStyle w:val="59"/>
            </w:pPr>
            <w:r>
              <w:t>勾选打分</w:t>
            </w:r>
            <w:r>
              <w:rPr>
                <w:rFonts w:hint="eastAsia"/>
              </w:rPr>
              <w:t>(0;1.7;3.4;5)</w:t>
            </w:r>
          </w:p>
        </w:tc>
      </w:tr>
      <w:tr>
        <w:trPr>
          <w:trHeight w:val="4357"/>
        </w:trPr>
        <w:tc>
          <w:tcPr>
            <w:tcW w:w="426" w:type="dxa"/>
            <w:vMerge w:val="restart"/>
          </w:tcPr>
          <w:p>
            <w:pPr>
              <w:pStyle w:val="83"/>
            </w:pPr>
            <w:r>
              <w:t>服务部分</w:t>
            </w:r>
          </w:p>
        </w:tc>
        <w:tc>
          <w:tcPr>
            <w:tcW w:w="717" w:type="dxa"/>
            <w:tcBorders>
              <w:top w:val="single" w:sz="4" w:space="0" w:color="auto"/>
              <w:left w:val="single" w:sz="4" w:space="0" w:color="auto"/>
              <w:bottom w:val="single" w:sz="4" w:space="0" w:color="auto"/>
              <w:right w:val="single" w:sz="4" w:space="0" w:color="auto"/>
            </w:tcBorders>
          </w:tcPr>
          <w:p>
            <w:pPr>
              <w:pStyle w:val="69"/>
            </w:pPr>
            <w:r>
              <w:t>实施管理方案</w:t>
            </w:r>
          </w:p>
        </w:tc>
        <w:tc>
          <w:tcPr>
            <w:tcW w:w="5778" w:type="dxa"/>
            <w:tcBorders>
              <w:top w:val="single" w:sz="4" w:space="0" w:color="auto"/>
              <w:left w:val="single" w:sz="4" w:space="0" w:color="auto"/>
              <w:bottom w:val="single" w:sz="4" w:space="0" w:color="auto"/>
              <w:right w:val="single" w:sz="4" w:space="0" w:color="auto"/>
            </w:tcBorders>
          </w:tcPr>
          <w:p>
            <w:pPr>
              <w:pStyle w:val="70"/>
            </w:pPr>
            <w:r>
              <w:t xml:space="preserve">投标人提供项目实施管理方案，内容包括但不限于项目实施计划（测试、培训、应急措施、人员配备等对用户的有利性以及保证项目顺利实施的其他因素）、项目进度及保障措施等内容。  </w:t>
            </w:r>
          </w:p>
          <w:p>
            <w:pPr>
              <w:pStyle w:val="70"/>
            </w:pPr>
          </w:p>
          <w:p>
            <w:pPr>
              <w:pStyle w:val="70"/>
            </w:pPr>
            <w:r>
              <w:t xml:space="preserve">实施管理方案科学周密，内容全面，完全契合项目实际，针对性可行性强，得5分。               </w:t>
            </w:r>
          </w:p>
          <w:p>
            <w:pPr>
              <w:pStyle w:val="70"/>
            </w:pPr>
            <w:r>
              <w:t xml:space="preserve">实施管理方案内容完整，可以满足项目需要，针对性可行性较强，但方案上述内容中有一项有缺陷（缺陷包括：与事实不符、前后内容不一致、逻辑错误、不符合采购需求、内容有缺失等），得3.4分。              </w:t>
            </w:r>
          </w:p>
          <w:p>
            <w:pPr>
              <w:pStyle w:val="70"/>
            </w:pPr>
            <w:r>
              <w:t xml:space="preserve">实施管理方案内容有漏项，未完全包括上述内容要求，或上述两个以上内容中存在缺陷，得1.7分。                 </w:t>
            </w:r>
          </w:p>
          <w:p>
            <w:pPr>
              <w:pStyle w:val="70"/>
            </w:pPr>
            <w:r>
              <w:t>未提供实施管理方案或方案严重脱离项目实际，得0分。</w:t>
            </w:r>
          </w:p>
        </w:tc>
        <w:tc>
          <w:tcPr>
            <w:tcW w:w="1383" w:type="dxa"/>
            <w:tcBorders>
              <w:top w:val="single" w:sz="4" w:space="0" w:color="auto"/>
              <w:left w:val="single" w:sz="4" w:space="0" w:color="auto"/>
              <w:bottom w:val="single" w:sz="4" w:space="0" w:color="auto"/>
              <w:right w:val="single" w:sz="4" w:space="0" w:color="auto"/>
            </w:tcBorders>
          </w:tcPr>
          <w:p>
            <w:pPr>
              <w:pStyle w:val="71"/>
            </w:pPr>
            <w:r>
              <w:t>勾选打分</w:t>
            </w:r>
            <w:r>
              <w:rPr>
                <w:rFonts w:hint="eastAsia"/>
              </w:rPr>
              <w:t>(0;1.7;3.4;5)</w:t>
            </w:r>
          </w:p>
        </w:tc>
      </w:tr>
      <w:tr>
        <w:trPr>
          <w:trHeight w:val="5101"/>
        </w:trPr>
        <w:tc>
          <w:tcPr>
            <w:tcW w:w="426" w:type="dxa"/>
            <w:vMerge/>
          </w:tcPr>
          <w:p/>
        </w:tc>
        <w:tc>
          <w:tcPr>
            <w:tcW w:w="717" w:type="dxa"/>
            <w:tcBorders>
              <w:top w:val="single" w:sz="4" w:space="0" w:color="auto"/>
              <w:left w:val="single" w:sz="4" w:space="0" w:color="auto"/>
              <w:bottom w:val="single" w:sz="4" w:space="0" w:color="auto"/>
              <w:right w:val="single" w:sz="4" w:space="0" w:color="auto"/>
            </w:tcBorders>
          </w:tcPr>
          <w:p>
            <w:pPr>
              <w:pStyle w:val="72"/>
            </w:pPr>
            <w:r>
              <w:t>运维服务方案</w:t>
            </w:r>
          </w:p>
        </w:tc>
        <w:tc>
          <w:tcPr>
            <w:tcW w:w="5778" w:type="dxa"/>
            <w:tcBorders>
              <w:top w:val="single" w:sz="4" w:space="0" w:color="auto"/>
              <w:left w:val="single" w:sz="4" w:space="0" w:color="auto"/>
              <w:bottom w:val="single" w:sz="4" w:space="0" w:color="auto"/>
              <w:right w:val="single" w:sz="4" w:space="0" w:color="auto"/>
            </w:tcBorders>
          </w:tcPr>
          <w:p>
            <w:pPr>
              <w:pStyle w:val="73"/>
              <w:spacing w:line="400" w:lineRule="exact"/>
              <w:rPr>
                <w:rFonts w:cs="宋体"/>
                <w:szCs w:val="21"/>
              </w:rPr>
            </w:pPr>
            <w:r>
              <w:rPr>
                <w:rFonts w:cs="宋体" w:hint="eastAsia"/>
                <w:bCs/>
                <w:szCs w:val="21"/>
              </w:rPr>
              <w:t>投标人提供的</w:t>
            </w:r>
            <w:r>
              <w:rPr>
                <w:rFonts w:cs="宋体" w:hint="eastAsia"/>
                <w:szCs w:val="21"/>
              </w:rPr>
              <w:t>项目运维服务方案：</w:t>
            </w:r>
          </w:p>
          <w:p>
            <w:pPr>
              <w:pStyle w:val="73"/>
              <w:spacing w:line="400" w:lineRule="exact"/>
              <w:rPr>
                <w:rFonts w:cs="宋体"/>
                <w:bCs/>
                <w:szCs w:val="21"/>
              </w:rPr>
            </w:pPr>
            <w:r>
              <w:rPr>
                <w:rFonts w:cs="宋体" w:hint="eastAsia"/>
                <w:bCs/>
                <w:szCs w:val="21"/>
              </w:rPr>
              <w:t>针对本项目制定运维服务方案，包括但不限于运维服务体系架构、运维服务团队配置、切实可行的故障应急响应、日常巡检维护、系统性能优化及安全加固等措施和手段；具有完善可靠的服务质量监督与持续改进机制等。方案层次清晰，分析全面、逻辑严谨、能充分满足采购人需求，得</w:t>
            </w:r>
            <w:r>
              <w:rPr>
                <w:rFonts w:cs="宋体"/>
                <w:bCs/>
                <w:szCs w:val="21"/>
              </w:rPr>
              <w:t>7.5</w:t>
            </w:r>
            <w:r>
              <w:rPr>
                <w:rFonts w:cs="宋体" w:hint="eastAsia"/>
                <w:bCs/>
                <w:szCs w:val="21"/>
              </w:rPr>
              <w:t>分；
方案内容阐述基本完整，模式较清晰，但实施细节阐述不全（如缺乏具体响应流程、巡检清单或应急预案细节），无较大逻辑矛盾的，得</w:t>
            </w:r>
            <w:r>
              <w:rPr>
                <w:rFonts w:cs="宋体"/>
                <w:bCs/>
                <w:szCs w:val="21"/>
              </w:rPr>
              <w:t>5</w:t>
            </w:r>
            <w:r>
              <w:rPr>
                <w:rFonts w:cs="宋体" w:hint="eastAsia"/>
                <w:bCs/>
                <w:szCs w:val="21"/>
              </w:rPr>
              <w:t>分；
方案内容欠缺，仅能满足部分项目需求，未贴合项目实际情况进行论述，或内容中未包括具体服务内容、实施细节（如仅有概念无落地措施），不足以满足招标文件要求，得</w:t>
            </w:r>
            <w:r>
              <w:rPr>
                <w:rFonts w:cs="宋体"/>
                <w:bCs/>
                <w:szCs w:val="21"/>
              </w:rPr>
              <w:t>2.5</w:t>
            </w:r>
            <w:r>
              <w:rPr>
                <w:rFonts w:cs="宋体" w:hint="eastAsia"/>
                <w:bCs/>
                <w:szCs w:val="21"/>
              </w:rPr>
              <w:t>分</w:t>
            </w:r>
            <w:r>
              <w:rPr>
                <w:rFonts w:cs="宋体"/>
                <w:bCs/>
                <w:szCs w:val="21"/>
              </w:rPr>
              <w:t>；</w:t>
            </w:r>
          </w:p>
          <w:p>
            <w:pPr>
              <w:pStyle w:val="74"/>
            </w:pPr>
            <w:r>
              <w:t>未提供实施管理方案或方案严重脱离项目实际，得0分。</w:t>
            </w:r>
          </w:p>
        </w:tc>
        <w:tc>
          <w:tcPr>
            <w:tcW w:w="1383" w:type="dxa"/>
            <w:tcBorders>
              <w:top w:val="single" w:sz="4" w:space="0" w:color="auto"/>
              <w:left w:val="single" w:sz="4" w:space="0" w:color="auto"/>
              <w:bottom w:val="single" w:sz="4" w:space="0" w:color="auto"/>
              <w:right w:val="single" w:sz="4" w:space="0" w:color="auto"/>
            </w:tcBorders>
          </w:tcPr>
          <w:p>
            <w:pPr>
              <w:pStyle w:val="75"/>
            </w:pPr>
            <w:r>
              <w:t>勾选打分</w:t>
            </w:r>
            <w:r>
              <w:rPr>
                <w:rFonts w:hint="eastAsia"/>
              </w:rPr>
              <w:t>(0;</w:t>
            </w:r>
            <w:r>
              <w:t>2.5</w:t>
            </w:r>
            <w:r>
              <w:rPr>
                <w:rFonts w:hint="eastAsia"/>
              </w:rPr>
              <w:t>;</w:t>
            </w:r>
            <w:r>
              <w:t>5</w:t>
            </w:r>
            <w:r>
              <w:rPr>
                <w:rFonts w:hint="eastAsia"/>
              </w:rPr>
              <w:t>;</w:t>
            </w:r>
            <w:r>
              <w:t>7.5</w:t>
            </w:r>
            <w:r>
              <w:rPr>
                <w:rFonts w:hint="eastAsia"/>
              </w:rPr>
              <w:t>)</w:t>
            </w:r>
          </w:p>
        </w:tc>
      </w:tr>
      <w:tr>
        <w:trPr>
          <w:trHeight w:val="3189"/>
        </w:trPr>
        <w:tc>
          <w:tcPr>
            <w:tcW w:w="426" w:type="dxa"/>
            <w:vMerge/>
          </w:tcPr>
          <w:p/>
        </w:tc>
        <w:tc>
          <w:tcPr>
            <w:tcW w:w="717" w:type="dxa"/>
            <w:tcBorders>
              <w:top w:val="single" w:sz="4" w:space="0" w:color="auto"/>
              <w:left w:val="single" w:sz="4" w:space="0" w:color="auto"/>
              <w:bottom w:val="single" w:sz="4" w:space="0" w:color="auto"/>
              <w:right w:val="single" w:sz="4" w:space="0" w:color="auto"/>
            </w:tcBorders>
          </w:tcPr>
          <w:p>
            <w:pPr>
              <w:pStyle w:val="79"/>
            </w:pPr>
            <w:r>
              <w:t>培训方案</w:t>
            </w:r>
          </w:p>
        </w:tc>
        <w:tc>
          <w:tcPr>
            <w:tcW w:w="5778" w:type="dxa"/>
            <w:tcBorders>
              <w:top w:val="single" w:sz="4" w:space="0" w:color="auto"/>
              <w:left w:val="single" w:sz="4" w:space="0" w:color="auto"/>
              <w:bottom w:val="single" w:sz="4" w:space="0" w:color="auto"/>
              <w:right w:val="single" w:sz="4" w:space="0" w:color="auto"/>
            </w:tcBorders>
          </w:tcPr>
          <w:p>
            <w:pPr>
              <w:pStyle w:val="80"/>
              <w:spacing w:line="400" w:lineRule="exact"/>
              <w:rPr>
                <w:rFonts w:cs="宋体"/>
                <w:szCs w:val="21"/>
              </w:rPr>
            </w:pPr>
            <w:r>
              <w:rPr>
                <w:rFonts w:cs="宋体" w:hint="eastAsia"/>
                <w:bCs/>
                <w:szCs w:val="21"/>
              </w:rPr>
              <w:t>投标人提供的</w:t>
            </w:r>
            <w:r>
              <w:rPr>
                <w:rFonts w:cs="宋体" w:hint="eastAsia"/>
                <w:szCs w:val="21"/>
              </w:rPr>
              <w:t>培训方案：</w:t>
            </w:r>
          </w:p>
          <w:p>
            <w:pPr>
              <w:pStyle w:val="80"/>
              <w:spacing w:line="400" w:lineRule="exact"/>
              <w:rPr>
                <w:rFonts w:cs="宋体"/>
                <w:szCs w:val="21"/>
              </w:rPr>
            </w:pPr>
            <w:r>
              <w:rPr>
                <w:rFonts w:cs="宋体" w:hint="eastAsia"/>
                <w:szCs w:val="21"/>
              </w:rPr>
              <w:t>培训方案十分详尽，</w:t>
            </w:r>
            <w:r>
              <w:rPr>
                <w:rFonts w:cs="宋体" w:hint="eastAsia"/>
                <w:kern w:val="0"/>
                <w:szCs w:val="21"/>
              </w:rPr>
              <w:t>有详细培训计划，包括培训师资、教材、课程、人数、地点、日程等，</w:t>
            </w:r>
            <w:r>
              <w:rPr>
                <w:rFonts w:cs="宋体" w:hint="eastAsia"/>
                <w:szCs w:val="21"/>
              </w:rPr>
              <w:t>培训方案对供应商的项目特点具有很强针对性，培训的师资力量强大，得</w:t>
            </w:r>
            <w:r>
              <w:rPr>
                <w:rFonts w:cs="宋体"/>
                <w:szCs w:val="21"/>
              </w:rPr>
              <w:t>4.7</w:t>
            </w:r>
            <w:r>
              <w:rPr>
                <w:rFonts w:cs="宋体" w:hint="eastAsia"/>
                <w:szCs w:val="21"/>
              </w:rPr>
              <w:t>分；</w:t>
            </w:r>
          </w:p>
          <w:p>
            <w:pPr>
              <w:pStyle w:val="80"/>
              <w:spacing w:line="400" w:lineRule="exact"/>
              <w:rPr>
                <w:rFonts w:cs="宋体"/>
                <w:szCs w:val="21"/>
              </w:rPr>
            </w:pPr>
            <w:r>
              <w:rPr>
                <w:rFonts w:cs="宋体" w:hint="eastAsia"/>
                <w:szCs w:val="21"/>
              </w:rPr>
              <w:t>培训方案比较详尽，培训方案对项目有一定针对性，培训的师资力量较强，培训内容有所欠缺，得</w:t>
            </w:r>
            <w:r>
              <w:rPr>
                <w:rFonts w:cs="宋体"/>
                <w:szCs w:val="21"/>
              </w:rPr>
              <w:t>3</w:t>
            </w:r>
            <w:r>
              <w:rPr>
                <w:rFonts w:cs="宋体" w:hint="eastAsia"/>
                <w:szCs w:val="21"/>
              </w:rPr>
              <w:t>分；</w:t>
            </w:r>
          </w:p>
          <w:p>
            <w:pPr>
              <w:pStyle w:val="80"/>
              <w:spacing w:line="400" w:lineRule="exact"/>
              <w:rPr>
                <w:rFonts w:cs="宋体"/>
                <w:szCs w:val="21"/>
              </w:rPr>
            </w:pPr>
            <w:r>
              <w:rPr>
                <w:rFonts w:cs="宋体" w:hint="eastAsia"/>
                <w:szCs w:val="21"/>
              </w:rPr>
              <w:t>培训方案笼统，培训方案对项目的针对性不强，培训的师资力量较弱，得</w:t>
            </w:r>
            <w:r>
              <w:rPr>
                <w:rFonts w:cs="宋体"/>
                <w:szCs w:val="21"/>
              </w:rPr>
              <w:t>1.5</w:t>
            </w:r>
            <w:r>
              <w:rPr>
                <w:rFonts w:cs="宋体" w:hint="eastAsia"/>
                <w:szCs w:val="21"/>
              </w:rPr>
              <w:t>分</w:t>
            </w:r>
            <w:r>
              <w:rPr>
                <w:rFonts w:cs="宋体"/>
                <w:szCs w:val="21"/>
              </w:rPr>
              <w:t>；</w:t>
            </w:r>
          </w:p>
          <w:p>
            <w:pPr>
              <w:pStyle w:val="81"/>
              <w:spacing w:line="400" w:lineRule="exact"/>
              <w:rPr>
                <w:rFonts w:cs="宋体"/>
                <w:bCs/>
                <w:szCs w:val="21"/>
              </w:rPr>
            </w:pPr>
            <w:r>
              <w:t>未提供培训方案或方案严重脱离项目实际，得0分。</w:t>
            </w:r>
          </w:p>
        </w:tc>
        <w:tc>
          <w:tcPr>
            <w:tcW w:w="1383" w:type="dxa"/>
            <w:tcBorders>
              <w:top w:val="single" w:sz="4" w:space="0" w:color="auto"/>
              <w:left w:val="single" w:sz="4" w:space="0" w:color="auto"/>
              <w:bottom w:val="single" w:sz="4" w:space="0" w:color="auto"/>
              <w:right w:val="single" w:sz="4" w:space="0" w:color="auto"/>
            </w:tcBorders>
          </w:tcPr>
          <w:p>
            <w:pPr>
              <w:pStyle w:val="82"/>
            </w:pPr>
            <w:r>
              <w:t>勾选打分</w:t>
            </w:r>
            <w:r>
              <w:rPr>
                <w:rFonts w:hint="eastAsia"/>
              </w:rPr>
              <w:t>(0;1.</w:t>
            </w:r>
            <w:r>
              <w:t>5</w:t>
            </w:r>
            <w:r>
              <w:rPr>
                <w:rFonts w:hint="eastAsia"/>
              </w:rPr>
              <w:t>;3;</w:t>
            </w:r>
            <w:r>
              <w:t>4.7</w:t>
            </w:r>
            <w:r>
              <w:rPr>
                <w:rFonts w:hint="eastAsia"/>
              </w:rPr>
              <w:t>)</w:t>
            </w:r>
          </w:p>
        </w:tc>
      </w:tr>
    </w:tbl>
    <w:p>
      <w:pPr>
        <w:pStyle w:val="16"/>
      </w:pPr>
      <w:r>
        <w:t>注：1.评分分值精确到小数点后一位，第二位四舍五入。计算结果精确到小数点后二位，第三位四舍五入。</w:t>
      </w:r>
    </w:p>
    <w:p/>
    <w:sectPr>
      <w:pgSz w:w="11907" w:h="16839"/>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华文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方正黑体_GBK"/>
    <w:panose1 w:val="02010609060101010101"/>
    <w:charset w:val="86"/>
    <w:family w:val="auto"/>
    <w:pitch w:val="variable"/>
    <w:sig w:usb0="800002BF" w:usb1="38CF7CFA" w:usb2="00000016" w:usb3="00000000" w:csb0="00040001" w:csb1="00000000"/>
  </w:font>
  <w:font w:name="Calibri">
    <w:altName w:val="Times New Roman"/>
    <w:panose1 w:val="020F0502020204030204"/>
    <w:charset w:val="00"/>
    <w:family w:val="swiss"/>
    <w:pitch w:val="variable"/>
    <w:sig w:usb0="E4002EFF" w:usb1="C200247B" w:usb2="00000009" w:usb3="00000000" w:csb0="0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index 7"/>
    <w:basedOn w:val="0"/>
    <w:autoRedefine/>
    <w:next w:val="0"/>
    <w:pPr>
      <w:ind w:left="2520"/>
    </w:pPr>
  </w:style>
  <w:style w:type="paragraph" w:customStyle="1" w:styleId="16">
    <w:name w:val="样式 14 小四1"/>
    <w:pPr>
      <w:widowControl w:val="0"/>
      <w:adjustRightInd w:val="0"/>
      <w:spacing w:line="360" w:lineRule="atLeast"/>
    </w:pPr>
    <w:rPr>
      <w:rFonts w:ascii="Times New Roman" w:eastAsia="宋体" w:cs="Times New Roman" w:hAnsi="Times New Roman"/>
      <w:sz w:val="24"/>
      <w:szCs w:val="20"/>
      <w:lang w:val="en-US" w:eastAsia="zh-CN" w:bidi="ar-SA"/>
    </w:rPr>
  </w:style>
  <w:style w:type="paragraph" w:customStyle="1" w:styleId="17">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18">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19">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0">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21">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22">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23">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24">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25">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26">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109 小四"/>
    <w:next w:val="17"/>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49">
    <w:name w:val="样式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50">
    <w:name w:val="样式 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51">
    <w:name w:val="样式 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52">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8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377</TotalTime>
  <Application>Yozo_Office</Application>
  <Pages>3</Pages>
  <Words>2149</Words>
  <Characters>2292</Characters>
  <Lines>159</Lines>
  <Paragraphs>64</Paragraphs>
  <CharactersWithSpaces>2430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刘泽</cp:lastModifiedBy>
  <cp:revision>4</cp:revision>
  <dcterms:created xsi:type="dcterms:W3CDTF">2026-08-27T02:41:00Z</dcterms:created>
  <dcterms:modified xsi:type="dcterms:W3CDTF">2026-09-03T00:42:22Z</dcterms:modified>
</cp:coreProperties>
</file>